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752DE" w:rsidRDefault="008612D2" w:rsidP="00F75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752DE" w:rsidRPr="00B51CD8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22272F"/>
          <w:sz w:val="30"/>
          <w:szCs w:val="30"/>
        </w:rPr>
        <w:t xml:space="preserve"> </w:t>
      </w:r>
      <w:r w:rsidRPr="00B51CD8">
        <w:rPr>
          <w:color w:val="000000"/>
          <w:sz w:val="18"/>
          <w:szCs w:val="18"/>
        </w:rPr>
        <w:t>Комитет по образованию Псковской области</w:t>
      </w:r>
    </w:p>
    <w:p w:rsidR="00F752DE" w:rsidRPr="00B51CD8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 xml:space="preserve">Государственное бюджетное профессиональное образовательное учреждение </w:t>
      </w:r>
    </w:p>
    <w:p w:rsidR="00F752DE" w:rsidRPr="00B51CD8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Псковской области</w:t>
      </w:r>
    </w:p>
    <w:p w:rsidR="00F752DE" w:rsidRPr="00B51CD8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 xml:space="preserve"> «Великолукский лесотехнический колледж»</w:t>
      </w:r>
    </w:p>
    <w:p w:rsidR="00F752DE" w:rsidRPr="00B51CD8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ГБПОУ ПО «ВЛТК»</w:t>
      </w:r>
    </w:p>
    <w:p w:rsidR="00F752DE" w:rsidRPr="00B51CD8" w:rsidRDefault="00F752DE" w:rsidP="00F752D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___________________________________________________________</w:t>
      </w:r>
    </w:p>
    <w:p w:rsidR="00F752DE" w:rsidRPr="00B51CD8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Проспект Октябрьский, д.52, Псковская обл., г</w:t>
      </w:r>
      <w:proofErr w:type="gramStart"/>
      <w:r w:rsidRPr="00B51CD8">
        <w:rPr>
          <w:color w:val="000000"/>
          <w:sz w:val="18"/>
          <w:szCs w:val="18"/>
        </w:rPr>
        <w:t>.В</w:t>
      </w:r>
      <w:proofErr w:type="gramEnd"/>
      <w:r w:rsidRPr="00B51CD8">
        <w:rPr>
          <w:color w:val="000000"/>
          <w:sz w:val="18"/>
          <w:szCs w:val="18"/>
        </w:rPr>
        <w:t xml:space="preserve">еликие Луки, Россия 182113 Тел./факс (81153) 3-63-91, бух. 3-93-62, </w:t>
      </w:r>
      <w:proofErr w:type="spellStart"/>
      <w:r w:rsidRPr="00B51CD8">
        <w:rPr>
          <w:color w:val="000000"/>
          <w:sz w:val="18"/>
          <w:szCs w:val="18"/>
        </w:rPr>
        <w:t>E-mail</w:t>
      </w:r>
      <w:proofErr w:type="spellEnd"/>
      <w:r w:rsidRPr="00B51CD8">
        <w:rPr>
          <w:color w:val="000000"/>
          <w:sz w:val="18"/>
          <w:szCs w:val="18"/>
        </w:rPr>
        <w:t>: org1011@pskovedu.ru</w:t>
      </w:r>
    </w:p>
    <w:p w:rsidR="00F752DE" w:rsidRPr="00B51CD8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ОКПО 00990273; ОКОГУ 13149; ИНН/КПП 60250011783/602501001</w:t>
      </w:r>
    </w:p>
    <w:p w:rsidR="00F752DE" w:rsidRPr="00ED1C0F" w:rsidRDefault="00F752DE" w:rsidP="00F752D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F752DE" w:rsidRPr="00ED1C0F" w:rsidRDefault="00F752DE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752DE" w:rsidRPr="00ED1C0F" w:rsidRDefault="00F752DE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Принято:                                                                              УТВЕРЖДАЮ:</w:t>
      </w:r>
    </w:p>
    <w:p w:rsidR="00F752DE" w:rsidRPr="00ED1C0F" w:rsidRDefault="00F752DE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 xml:space="preserve">на заседании                                                                        Директор </w:t>
      </w:r>
    </w:p>
    <w:p w:rsidR="00F752DE" w:rsidRPr="00ED1C0F" w:rsidRDefault="00F752DE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педагогического совета                                                      ГБПОУ ПО «ВЛТК»</w:t>
      </w:r>
    </w:p>
    <w:p w:rsidR="00F752DE" w:rsidRPr="00ED1C0F" w:rsidRDefault="00F752DE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Протокол № 4 от 22</w:t>
      </w:r>
      <w:r>
        <w:rPr>
          <w:color w:val="000000"/>
          <w:sz w:val="22"/>
          <w:szCs w:val="22"/>
        </w:rPr>
        <w:t>.02.2023</w:t>
      </w:r>
      <w:r w:rsidRPr="00ED1C0F">
        <w:rPr>
          <w:color w:val="000000"/>
          <w:sz w:val="22"/>
          <w:szCs w:val="22"/>
        </w:rPr>
        <w:t xml:space="preserve">г.                                            ______________С.М. </w:t>
      </w:r>
      <w:proofErr w:type="spellStart"/>
      <w:r w:rsidRPr="00ED1C0F">
        <w:rPr>
          <w:color w:val="000000"/>
          <w:sz w:val="22"/>
          <w:szCs w:val="22"/>
        </w:rPr>
        <w:t>Маломоркин</w:t>
      </w:r>
      <w:proofErr w:type="spellEnd"/>
    </w:p>
    <w:p w:rsidR="00F752DE" w:rsidRDefault="00F752DE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28  февраля 2023</w:t>
      </w:r>
      <w:r w:rsidRPr="00ED1C0F">
        <w:rPr>
          <w:color w:val="000000"/>
          <w:sz w:val="22"/>
          <w:szCs w:val="22"/>
        </w:rPr>
        <w:t xml:space="preserve">г. </w:t>
      </w:r>
    </w:p>
    <w:p w:rsidR="006325C4" w:rsidRDefault="006325C4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325C4" w:rsidRDefault="006325C4" w:rsidP="00F752D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325C4" w:rsidRDefault="006325C4" w:rsidP="006325C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ПРАВИЛА ПРИЁМА </w:t>
      </w:r>
    </w:p>
    <w:p w:rsidR="006325C4" w:rsidRPr="00ED1C0F" w:rsidRDefault="006325C4" w:rsidP="006325C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2023-2024 УЧЕБНЫЙ ГОД.</w:t>
      </w:r>
    </w:p>
    <w:p w:rsidR="00F752DE" w:rsidRPr="008612D2" w:rsidRDefault="00F752DE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8612D2" w:rsidRPr="006325C4" w:rsidRDefault="008612D2" w:rsidP="0063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 </w:t>
      </w:r>
      <w:hyperlink r:id="rId5" w:anchor="block_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квотой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6325C4" w:rsidRPr="008612D2" w:rsidRDefault="006325C4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Правила приема в конкретную образовательную организацию на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 w:rsidRPr="008612D2">
        <w:rPr>
          <w:rFonts w:ascii="Times New Roman" w:eastAsia="Times New Roman" w:hAnsi="Times New Roman" w:cs="Times New Roman"/>
          <w:color w:val="3272C0"/>
          <w:sz w:val="18"/>
          <w:u w:val="single"/>
          <w:vertAlign w:val="superscript"/>
          <w:lang w:eastAsia="ru-RU"/>
        </w:rPr>
        <w:t>1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25C4" w:rsidRPr="008612D2" w:rsidRDefault="006325C4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Прием в образовательные организации лиц для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 </w:t>
      </w:r>
      <w:hyperlink r:id="rId6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от 29 декабря 2012 г. N 273-ФЗ "Об образовании 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Российской Федерации"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" w:anchor="block_112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 "Об образовании в Российской Федерации").</w:t>
      </w:r>
    </w:p>
    <w:p w:rsidR="006325C4" w:rsidRPr="008612D2" w:rsidRDefault="006325C4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Прием на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 </w:t>
      </w:r>
      <w:hyperlink r:id="rId8" w:anchor="block_10879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4 статьи 68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" w:anchor="block_113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3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25C4" w:rsidRPr="008612D2" w:rsidRDefault="006325C4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Образовательная организация осуществляет обработку полученных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" w:anchor="block_114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4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25C4" w:rsidRPr="008612D2" w:rsidRDefault="006325C4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Условиями приема на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115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5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Организация приема в образовательную организацию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Организация приема на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Председателем приемной комиссии является руководитель образовательной организации.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25C4" w:rsidRDefault="006325C4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 xml:space="preserve">III. Организация информирования </w:t>
      </w:r>
      <w:proofErr w:type="gramStart"/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поступающих</w:t>
      </w:r>
      <w:proofErr w:type="gramEnd"/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 Образовательная организация объявляет прием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2" w:anchor="block_116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6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25C4" w:rsidRPr="008612D2" w:rsidRDefault="006325C4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Не позднее 1 марта: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образовательную организацию;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условия приема на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 договорам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 оказании платных образовательных услуг;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</w:t>
      </w: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очно-заочная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заочная);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вступительных испытаний;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информацию о формах проведения вступительных испытаний;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поступающими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 Не позднее 1 июня: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иногородних поступающих;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образец договора об оказании платных образовательных услуг.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</w:t>
      </w: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очно-заочная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заочная).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IV. Прием документов </w:t>
      </w:r>
      <w:proofErr w:type="gramStart"/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от</w:t>
      </w:r>
      <w:proofErr w:type="gramEnd"/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поступающих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документов начинается не позднее 20 июня.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заявлений в образовательные организации на очную форму обучения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Прием заявлений у лиц, поступающих для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Сроки приема заявлений в образовательные организации на иные формы обучения (</w:t>
      </w: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очно-заочная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заочная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устанавливаются правилами приема.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 При подаче заявления (на русском языке) о приеме в образовательные организации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предъявляет следующие документы: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21.1. Граждане Российской Федерации: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3" w:anchor="block_1515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15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ЕПГУ);</w:t>
      </w:r>
    </w:p>
    <w:p w:rsidR="00AF0813" w:rsidRDefault="008612D2" w:rsidP="00AF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8612D2" w:rsidRPr="008612D2" w:rsidRDefault="008612D2" w:rsidP="00AF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 </w:t>
      </w:r>
      <w:hyperlink r:id="rId14" w:anchor="block_2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уполномоченного должностного лица многофункционального центра предоставления государственных и муниципальных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услуг (далее - электронный дубликат документа об образовании и (или) документа об образовании и о квалификации);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 фотографии;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21.2. Иностранные граждане, лица без гражданства, в том числе соотечественники, проживающие за рубежом: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hyperlink r:id="rId15" w:anchor="block_107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107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" w:anchor="block_117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7</w:t>
        </w:r>
      </w:hyperlink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 случае, установленном Федеральным законом "Об образовании в Российской Федерации", - также свидетельство 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признании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иностранного образования);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заверенный в порядке, установленном </w:t>
      </w:r>
      <w:hyperlink r:id="rId17" w:anchor="block_8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Основ законодательства Российской Федерации о нотариате от 11 февраля 1993 г. N 4462-1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" w:anchor="block_118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8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19" w:anchor="block_1706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6 статьи 17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24 мая 1999 г. N 99-ФЗ "О государственной политике Российской Федерации в отношении соотечественников за рубежом"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0" w:anchor="block_119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9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 фотографии.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документе, удостоверяющем личность иностранного гражданина в Российской Федерации;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21.4. Поступающие помимо документов, указанных в </w:t>
      </w:r>
      <w:hyperlink r:id="rId21" w:anchor="block_1021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21.1 - 21.3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21.5. При личном представлении оригиналов документов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допускается заверение их копий образовательной организацией.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В заявлении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указываются следующие обязательные сведения: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фамилия, имя и отчество (последнее - при наличии);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реквизиты документа, удостоверяющего его личность, когда и кем выдан;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специальност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и)/профессия(и),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нуждаемость в предоставлении общежития;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Подписью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заверяется также следующее: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получения среднего профессионального образования впервые;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поступающему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23.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поступлении на обучение по специальностям, входящим в </w:t>
      </w:r>
      <w:hyperlink r:id="rId22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перечень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 </w:t>
      </w:r>
      <w:hyperlink r:id="rId23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Правительства Российской Федерации от 14 августа 2013 г. 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N 697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4" w:anchor="block_120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10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поступающие проходят обязательные предварительные медицинские осмотры (обследования) в порядке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установленном при заключении трудового договора или служебного контракта по соответствующей должности, профессии или специальности.</w:t>
      </w:r>
      <w:proofErr w:type="gramEnd"/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лично в образовательную организацию;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в электронной форме (если такая возможность предусмотрена в образовательной организации) в соответствии с </w:t>
      </w:r>
      <w:hyperlink r:id="rId25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6 апреля 2011 г. N 63-ФЗ "Об электронной подписи"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6" w:anchor="block_121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7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27 июля 2006 г. N 149-ФЗ "Об информации, информационных технологиях и о защите информации"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8" w:anchor="block_122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12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9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7 июля 2003 г. N 126-ФЗ "О связи"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0" w:anchor="block_123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13</w:t>
        </w:r>
      </w:hyperlink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(документ на бумажном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носителе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ЕПГУ;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Документы, направленные в образовательную организацию одним из перечисленных в настоящем пункте способов, принимаются не позднее сроков, установленных </w:t>
      </w:r>
      <w:hyperlink r:id="rId31" w:anchor="block_102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20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Не допускается взимание платы с поступающих при подаче документов, указанных в </w:t>
      </w:r>
      <w:hyperlink r:id="rId32" w:anchor="block_102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21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ЕПГУ.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27.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Поступающему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 личном представлении документов выдается расписка о приеме документов.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Вступительные испытания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752DE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29.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3" w:anchor="block_124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14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проводятся вступительные испытания при приеме на обучение по следующим профессиям и специальностям среднего профессионального образования: </w:t>
      </w:r>
      <w:proofErr w:type="gramEnd"/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07.02.01 Архитектура, </w:t>
      </w:r>
      <w:hyperlink r:id="rId34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20.01.01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Пожарный, 20.02.02 Защита в чрезвычайных ситуациях, 20.02.04 Пожарная безопасность, </w:t>
      </w:r>
      <w:hyperlink r:id="rId35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20.02.05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Организаций оперативного (экстренного) реагирования в чрезвычайных ситуациях, </w:t>
      </w:r>
      <w:hyperlink r:id="rId36" w:anchor="block_59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25.02.04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Летная эксплуатация летательных аппаратов, </w:t>
      </w:r>
      <w:hyperlink r:id="rId37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29.02.10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Конструирование, моделирование и технология изделий легкой промышленности (по видам), 31.02.01 Лечебное дело, 31.02.02 Акушерское дело, 31.02.05 Стоматология ортопедическая, 34.02.1 Сестринское дело, </w:t>
      </w:r>
      <w:r w:rsidRPr="00341F1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35.02.12 Садово-парковое и ландшафтное строительство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38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35.02.15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Кинология (в случае подготовки кинолога в следующих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областях деятельности: в службах охраны, при розыскных и спасательных работах), </w:t>
      </w:r>
      <w:hyperlink r:id="rId39" w:anchor="block_58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40.02.02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Правоохранительная деятельность, </w:t>
      </w:r>
      <w:hyperlink r:id="rId40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42.02.01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Реклама, </w:t>
      </w:r>
      <w:hyperlink r:id="rId41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43.02.17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Технологии индустрии красоты, 44.02.01 Дошкольное образование, 44.02.02 Преподавание в начальных классах, </w:t>
      </w:r>
      <w:hyperlink r:id="rId42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44.02.03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Педагогика дополнительного образования (в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физкультурно-оздоровительной), </w:t>
      </w:r>
      <w:hyperlink r:id="rId43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44.02.04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Специальное дошкольное образование, 44.02.05 Коррекционная педагогика в начальном образовании, 49.02.01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Физическая культура, 49.02.02 Адаптивная физическая культура, </w:t>
      </w:r>
      <w:hyperlink r:id="rId44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49.02.03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Спорт, </w:t>
      </w:r>
      <w:hyperlink r:id="rId45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51.02.01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Народное художественное творчество (по видам), </w:t>
      </w:r>
      <w:hyperlink r:id="rId46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51.02.02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Социально-культурная деятельность (по видам), </w:t>
      </w:r>
      <w:hyperlink r:id="rId47" w:anchor="block_67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52.02.01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Искусство балета, </w:t>
      </w:r>
      <w:hyperlink r:id="rId48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52.02.02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Искусство танца (по видам), </w:t>
      </w:r>
      <w:hyperlink r:id="rId49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52.02.03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Цирковое искусство, </w:t>
      </w:r>
      <w:hyperlink r:id="rId50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52.02.04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Актерское искусство, </w:t>
      </w:r>
      <w:hyperlink r:id="rId51" w:anchor="block_57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52.02.05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Искусство эстрады, </w:t>
      </w:r>
      <w:hyperlink r:id="rId52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53.01.01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Мастер по ремонту и обслуживанию музыкальных инструментов (по видам), </w:t>
      </w:r>
      <w:hyperlink r:id="rId53" w:anchor="block_4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Музыкальное образование, </w:t>
      </w:r>
      <w:hyperlink r:id="rId54" w:anchor="block_64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53.02.02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Музыкальное искусство эстрады (по видам), 53.02.03 Инструментальное исполнительство (по видам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инструментов), </w:t>
      </w:r>
      <w:hyperlink r:id="rId55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53.02.04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Вокальное искусство, </w:t>
      </w:r>
      <w:hyperlink r:id="rId56" w:anchor="block_6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53.02.05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Сольное и хоровое народное пение, </w:t>
      </w:r>
      <w:hyperlink r:id="rId57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53.02.06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Хоровое </w:t>
      </w: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дирижирование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8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53.02.07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Теория музыки, </w:t>
      </w:r>
      <w:hyperlink r:id="rId59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53.02.08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Музыкальное звукооператорское мастерство, </w:t>
      </w:r>
      <w:hyperlink r:id="rId60" w:anchor="block_74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53.02.09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Театрально-декорационное искусство (по видам), 54.02.01 Дизайн (по отраслям), </w:t>
      </w:r>
      <w:hyperlink r:id="rId61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54.02.02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Декоративно-прикладное искусство и народные промыслы (по видам), </w:t>
      </w:r>
      <w:hyperlink r:id="rId62" w:anchor="block_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54.02.03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Художественное оформление изделий текстильной и легкой промышленности, </w:t>
      </w:r>
      <w:hyperlink r:id="rId63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54.02.04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Реставрация, </w:t>
      </w:r>
      <w:hyperlink r:id="rId64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54.02.05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Живопись (по видам), </w:t>
      </w:r>
      <w:hyperlink r:id="rId65" w:anchor="block_75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54.02.06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Изобразительное искусство и черчение, </w:t>
      </w:r>
      <w:hyperlink r:id="rId66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54.02.07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Скульптура,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67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54.02.08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Техника и искусство фотографии, </w:t>
      </w:r>
      <w:hyperlink r:id="rId68" w:anchor="block_1000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55.02.01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Театральная и аудиовизуальная техника (по видам), 55.02.02 Анимация и анимационное кино (по видам).</w:t>
      </w:r>
    </w:p>
    <w:p w:rsid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30. Вступительные испытания проводятся в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форме 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собеседования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поступающему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комментарии экзаменаторов.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32. Оценка результатов вступительных испытаний осуществляется по выбору образовательной организации по зачетной и (или) балльной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творческих способностей, физических и </w:t>
      </w: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(или) психологических качеств, необходимых для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соответствующим образовательным программам.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34. При проведении вступительных испытаний обеспечивается соблюдение следующих требований: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категорий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для слепых: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надиктовываются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ассистенту;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для слабовидящих: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для глухих и слабослышащих: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надиктовываются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ассистенту;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 желанию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поступающих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все вступительные испытания могут проводиться в устной форме.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Общие правила подачи и рассмотрения апелляций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35. По результатам вступительного испытания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37. Апелляция подается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экспертов представителей органов исполнительной власти субъектов Российской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Федерации, осуществляющих государственное управление в сфере образования.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39.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40. С несовершеннолетним поступающим имеет право присутствовать один из родителей (законных представителей).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42. После рассмотрения апелляции выносится решение апелляционной комиссии об оценке по вступительному испытанию.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поступающего (под роспись).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612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Зачисление в образовательную организацию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12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43.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43(1). В случае подачи заявления с использованием функционала ЕПГУ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подтверждает свое согласие на зачисление в образовательную организацию посредством функционала ЕПГУ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44.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документа об образовании и (или) документа об образовании и о квалификации. Приложением к приказу о зачислении является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офамильный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 </w:t>
      </w:r>
      <w:hyperlink r:id="rId69" w:anchor="block_7111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 статьи 71.1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0" w:anchor="block_126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16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Лицам, указанным в </w:t>
      </w:r>
      <w:hyperlink r:id="rId71" w:anchor="block_108842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7 статьи 71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"Об образовании в Российской Федерации", предоставляется преимущественное право зачисления в образовательную организацию на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2" w:anchor="block_1717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17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45. При приеме на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73" w:history="1">
        <w:r w:rsidRPr="008612D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 ноября 2015</w:t>
      </w:r>
      <w:proofErr w:type="gram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г. N 1239 "Об утверждении Правил выявления детей, проявивших выдающиеся способности, сопровождения и мониторинга их дальнейшего развития"</w:t>
      </w:r>
      <w:r w:rsidRPr="008612D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4" w:anchor="block_127" w:history="1">
        <w:r w:rsidRPr="008612D2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17</w:t>
        </w:r>
      </w:hyperlink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Абилимпикс</w:t>
      </w:r>
      <w:proofErr w:type="spellEnd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";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3) 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Профессионалы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.</w:t>
      </w:r>
      <w:proofErr w:type="gramEnd"/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8612D2" w:rsidRPr="008612D2" w:rsidRDefault="008612D2" w:rsidP="008612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47. </w:t>
      </w:r>
      <w:proofErr w:type="gramStart"/>
      <w:r w:rsidRPr="008612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  <w:proofErr w:type="gramEnd"/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612D2" w:rsidRPr="008612D2" w:rsidRDefault="008612D2" w:rsidP="008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8612D2" w:rsidRPr="008612D2" w:rsidSect="00AF0813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D2"/>
    <w:rsid w:val="00341F1A"/>
    <w:rsid w:val="0047399D"/>
    <w:rsid w:val="006325C4"/>
    <w:rsid w:val="007556AE"/>
    <w:rsid w:val="008612D2"/>
    <w:rsid w:val="00AF0813"/>
    <w:rsid w:val="00F7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E"/>
  </w:style>
  <w:style w:type="paragraph" w:styleId="4">
    <w:name w:val="heading 4"/>
    <w:basedOn w:val="a"/>
    <w:link w:val="40"/>
    <w:uiPriority w:val="9"/>
    <w:qFormat/>
    <w:rsid w:val="008612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12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8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12D2"/>
  </w:style>
  <w:style w:type="paragraph" w:styleId="a3">
    <w:name w:val="Normal (Web)"/>
    <w:basedOn w:val="a"/>
    <w:uiPriority w:val="99"/>
    <w:semiHidden/>
    <w:unhideWhenUsed/>
    <w:rsid w:val="008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2D2"/>
    <w:rPr>
      <w:color w:val="0000FF"/>
      <w:u w:val="single"/>
    </w:rPr>
  </w:style>
  <w:style w:type="paragraph" w:customStyle="1" w:styleId="s3">
    <w:name w:val="s_3"/>
    <w:basedOn w:val="a"/>
    <w:rsid w:val="008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list">
    <w:name w:val="link-list"/>
    <w:basedOn w:val="a0"/>
    <w:rsid w:val="008612D2"/>
  </w:style>
  <w:style w:type="paragraph" w:styleId="HTML">
    <w:name w:val="HTML Preformatted"/>
    <w:basedOn w:val="a"/>
    <w:link w:val="HTML0"/>
    <w:uiPriority w:val="99"/>
    <w:semiHidden/>
    <w:unhideWhenUsed/>
    <w:rsid w:val="00861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2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7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5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69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2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5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7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2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1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4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868905/53f89421bbdaf741eb2d1ecc4ddb4c33/" TargetMode="External"/><Relationship Id="rId18" Type="http://schemas.openxmlformats.org/officeDocument/2006/relationships/hyperlink" Target="https://base.garant.ru/74868905/53f89421bbdaf741eb2d1ecc4ddb4c33/" TargetMode="External"/><Relationship Id="rId26" Type="http://schemas.openxmlformats.org/officeDocument/2006/relationships/hyperlink" Target="https://base.garant.ru/74868905/53f89421bbdaf741eb2d1ecc4ddb4c33/" TargetMode="External"/><Relationship Id="rId39" Type="http://schemas.openxmlformats.org/officeDocument/2006/relationships/hyperlink" Target="https://base.garant.ru/70732124/5f5aeb9844a3cec55dca4cf7554741a3/" TargetMode="External"/><Relationship Id="rId21" Type="http://schemas.openxmlformats.org/officeDocument/2006/relationships/hyperlink" Target="https://base.garant.ru/74868905/53f89421bbdaf741eb2d1ecc4ddb4c33/" TargetMode="External"/><Relationship Id="rId34" Type="http://schemas.openxmlformats.org/officeDocument/2006/relationships/hyperlink" Target="https://base.garant.ru/402977452/53f89421bbdaf741eb2d1ecc4ddb4c33/" TargetMode="External"/><Relationship Id="rId42" Type="http://schemas.openxmlformats.org/officeDocument/2006/relationships/hyperlink" Target="https://base.garant.ru/70732836/53f89421bbdaf741eb2d1ecc4ddb4c33/" TargetMode="External"/><Relationship Id="rId47" Type="http://schemas.openxmlformats.org/officeDocument/2006/relationships/hyperlink" Target="https://base.garant.ru/70872656/c7672a3a2e519cd7f61a089671f759ae/" TargetMode="External"/><Relationship Id="rId50" Type="http://schemas.openxmlformats.org/officeDocument/2006/relationships/hyperlink" Target="https://base.garant.ru/70812438/53f89421bbdaf741eb2d1ecc4ddb4c33/" TargetMode="External"/><Relationship Id="rId55" Type="http://schemas.openxmlformats.org/officeDocument/2006/relationships/hyperlink" Target="https://base.garant.ru/70812448/53f89421bbdaf741eb2d1ecc4ddb4c33/" TargetMode="External"/><Relationship Id="rId63" Type="http://schemas.openxmlformats.org/officeDocument/2006/relationships/hyperlink" Target="https://base.garant.ru/70812450/53f89421bbdaf741eb2d1ecc4ddb4c33/" TargetMode="External"/><Relationship Id="rId68" Type="http://schemas.openxmlformats.org/officeDocument/2006/relationships/hyperlink" Target="https://base.garant.ru/70812456/53f89421bbdaf741eb2d1ecc4ddb4c33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ase.garant.ru/74868905/53f89421bbdaf741eb2d1ecc4ddb4c33/" TargetMode="External"/><Relationship Id="rId71" Type="http://schemas.openxmlformats.org/officeDocument/2006/relationships/hyperlink" Target="https://base.garant.ru/70291362/4fc81bd708668197a291fdc62307ca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4868905/53f89421bbdaf741eb2d1ecc4ddb4c33/" TargetMode="External"/><Relationship Id="rId29" Type="http://schemas.openxmlformats.org/officeDocument/2006/relationships/hyperlink" Target="https://base.garant.ru/186117/" TargetMode="External"/><Relationship Id="rId11" Type="http://schemas.openxmlformats.org/officeDocument/2006/relationships/hyperlink" Target="https://base.garant.ru/74868905/53f89421bbdaf741eb2d1ecc4ddb4c33/" TargetMode="External"/><Relationship Id="rId24" Type="http://schemas.openxmlformats.org/officeDocument/2006/relationships/hyperlink" Target="https://base.garant.ru/74868905/53f89421bbdaf741eb2d1ecc4ddb4c33/" TargetMode="External"/><Relationship Id="rId32" Type="http://schemas.openxmlformats.org/officeDocument/2006/relationships/hyperlink" Target="https://base.garant.ru/74868905/53f89421bbdaf741eb2d1ecc4ddb4c33/" TargetMode="External"/><Relationship Id="rId37" Type="http://schemas.openxmlformats.org/officeDocument/2006/relationships/hyperlink" Target="https://base.garant.ru/404934403/53f89421bbdaf741eb2d1ecc4ddb4c33/" TargetMode="External"/><Relationship Id="rId40" Type="http://schemas.openxmlformats.org/officeDocument/2006/relationships/hyperlink" Target="https://base.garant.ru/70687430/53f89421bbdaf741eb2d1ecc4ddb4c33/" TargetMode="External"/><Relationship Id="rId45" Type="http://schemas.openxmlformats.org/officeDocument/2006/relationships/hyperlink" Target="https://base.garant.ru/70810614/53f89421bbdaf741eb2d1ecc4ddb4c33/" TargetMode="External"/><Relationship Id="rId53" Type="http://schemas.openxmlformats.org/officeDocument/2006/relationships/hyperlink" Target="https://base.garant.ru/70737282/1b93c134b90c6071b4dc3f495464b753/" TargetMode="External"/><Relationship Id="rId58" Type="http://schemas.openxmlformats.org/officeDocument/2006/relationships/hyperlink" Target="https://base.garant.ru/70810644/53f89421bbdaf741eb2d1ecc4ddb4c33/" TargetMode="External"/><Relationship Id="rId66" Type="http://schemas.openxmlformats.org/officeDocument/2006/relationships/hyperlink" Target="https://base.garant.ru/70809796/53f89421bbdaf741eb2d1ecc4ddb4c33/" TargetMode="External"/><Relationship Id="rId74" Type="http://schemas.openxmlformats.org/officeDocument/2006/relationships/hyperlink" Target="https://base.garant.ru/74868905/53f89421bbdaf741eb2d1ecc4ddb4c33/" TargetMode="External"/><Relationship Id="rId5" Type="http://schemas.openxmlformats.org/officeDocument/2006/relationships/hyperlink" Target="https://base.garant.ru/70468236/a685f03a58ba7401ba19f26222576bc8/" TargetMode="External"/><Relationship Id="rId15" Type="http://schemas.openxmlformats.org/officeDocument/2006/relationships/hyperlink" Target="https://base.garant.ru/70291362/e1c8be56fa9aadc68fb3b30fe154951d/" TargetMode="External"/><Relationship Id="rId23" Type="http://schemas.openxmlformats.org/officeDocument/2006/relationships/hyperlink" Target="https://base.garant.ru/70434720/" TargetMode="External"/><Relationship Id="rId28" Type="http://schemas.openxmlformats.org/officeDocument/2006/relationships/hyperlink" Target="https://base.garant.ru/74868905/53f89421bbdaf741eb2d1ecc4ddb4c33/" TargetMode="External"/><Relationship Id="rId36" Type="http://schemas.openxmlformats.org/officeDocument/2006/relationships/hyperlink" Target="https://base.garant.ru/70687320/cfd6802f4ab1cd4e025322c20eb55836/" TargetMode="External"/><Relationship Id="rId49" Type="http://schemas.openxmlformats.org/officeDocument/2006/relationships/hyperlink" Target="https://base.garant.ru/70810616/53f89421bbdaf741eb2d1ecc4ddb4c33/" TargetMode="External"/><Relationship Id="rId57" Type="http://schemas.openxmlformats.org/officeDocument/2006/relationships/hyperlink" Target="https://base.garant.ru/70810666/53f89421bbdaf741eb2d1ecc4ddb4c33/" TargetMode="External"/><Relationship Id="rId61" Type="http://schemas.openxmlformats.org/officeDocument/2006/relationships/hyperlink" Target="https://base.garant.ru/70810726/53f89421bbdaf741eb2d1ecc4ddb4c33/" TargetMode="External"/><Relationship Id="rId10" Type="http://schemas.openxmlformats.org/officeDocument/2006/relationships/hyperlink" Target="https://base.garant.ru/74868905/53f89421bbdaf741eb2d1ecc4ddb4c33/" TargetMode="External"/><Relationship Id="rId19" Type="http://schemas.openxmlformats.org/officeDocument/2006/relationships/hyperlink" Target="https://base.garant.ru/12115694/a7b26eafd8fd23d18ca4410ac5359e0e/" TargetMode="External"/><Relationship Id="rId31" Type="http://schemas.openxmlformats.org/officeDocument/2006/relationships/hyperlink" Target="https://base.garant.ru/74868905/53f89421bbdaf741eb2d1ecc4ddb4c33/" TargetMode="External"/><Relationship Id="rId44" Type="http://schemas.openxmlformats.org/officeDocument/2006/relationships/hyperlink" Target="https://base.garant.ru/400796160/53f89421bbdaf741eb2d1ecc4ddb4c33/" TargetMode="External"/><Relationship Id="rId52" Type="http://schemas.openxmlformats.org/officeDocument/2006/relationships/hyperlink" Target="https://base.garant.ru/400802037/53f89421bbdaf741eb2d1ecc4ddb4c33/" TargetMode="External"/><Relationship Id="rId60" Type="http://schemas.openxmlformats.org/officeDocument/2006/relationships/hyperlink" Target="https://base.garant.ru/70733736/a293b837c00eadeaea9c90c1f7b4f466/" TargetMode="External"/><Relationship Id="rId65" Type="http://schemas.openxmlformats.org/officeDocument/2006/relationships/hyperlink" Target="https://base.garant.ru/70810732/7381fc65826091bca567a1005ba6bc41/" TargetMode="External"/><Relationship Id="rId73" Type="http://schemas.openxmlformats.org/officeDocument/2006/relationships/hyperlink" Target="https://base.garant.ru/712514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868905/53f89421bbdaf741eb2d1ecc4ddb4c33/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hyperlink" Target="https://base.garant.ru/70434720/9ca9cff344126c8b0d335f6d416c69be/" TargetMode="External"/><Relationship Id="rId27" Type="http://schemas.openxmlformats.org/officeDocument/2006/relationships/hyperlink" Target="https://base.garant.ru/12148555/" TargetMode="External"/><Relationship Id="rId30" Type="http://schemas.openxmlformats.org/officeDocument/2006/relationships/hyperlink" Target="https://base.garant.ru/74868905/53f89421bbdaf741eb2d1ecc4ddb4c33/" TargetMode="External"/><Relationship Id="rId35" Type="http://schemas.openxmlformats.org/officeDocument/2006/relationships/hyperlink" Target="https://base.garant.ru/400814293/53f89421bbdaf741eb2d1ecc4ddb4c33/" TargetMode="External"/><Relationship Id="rId43" Type="http://schemas.openxmlformats.org/officeDocument/2006/relationships/hyperlink" Target="https://base.garant.ru/70812420/53f89421bbdaf741eb2d1ecc4ddb4c33/" TargetMode="External"/><Relationship Id="rId48" Type="http://schemas.openxmlformats.org/officeDocument/2006/relationships/hyperlink" Target="https://base.garant.ru/70877666/53f89421bbdaf741eb2d1ecc4ddb4c33/" TargetMode="External"/><Relationship Id="rId56" Type="http://schemas.openxmlformats.org/officeDocument/2006/relationships/hyperlink" Target="https://base.garant.ru/70812418/21a69d564a3ae054d908867940facd2e/" TargetMode="External"/><Relationship Id="rId64" Type="http://schemas.openxmlformats.org/officeDocument/2006/relationships/hyperlink" Target="https://base.garant.ru/70734848/53f89421bbdaf741eb2d1ecc4ddb4c33/" TargetMode="External"/><Relationship Id="rId69" Type="http://schemas.openxmlformats.org/officeDocument/2006/relationships/hyperlink" Target="https://base.garant.ru/70291362/39e83632521a9ad787a93296fb3f48f0/" TargetMode="External"/><Relationship Id="rId8" Type="http://schemas.openxmlformats.org/officeDocument/2006/relationships/hyperlink" Target="https://base.garant.ru/70291362/6cf34816dc52ae8870d524b8ed6399a5/" TargetMode="External"/><Relationship Id="rId51" Type="http://schemas.openxmlformats.org/officeDocument/2006/relationships/hyperlink" Target="https://base.garant.ru/70812458/089b4a5b96814c6974a9dc40194feaf2/" TargetMode="External"/><Relationship Id="rId72" Type="http://schemas.openxmlformats.org/officeDocument/2006/relationships/hyperlink" Target="https://base.garant.ru/74868905/53f89421bbdaf741eb2d1ecc4ddb4c3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4868905/53f89421bbdaf741eb2d1ecc4ddb4c33/" TargetMode="External"/><Relationship Id="rId17" Type="http://schemas.openxmlformats.org/officeDocument/2006/relationships/hyperlink" Target="https://base.garant.ru/10102426/646cd7e8cf19279b078cdec8fcd89ce4/" TargetMode="External"/><Relationship Id="rId25" Type="http://schemas.openxmlformats.org/officeDocument/2006/relationships/hyperlink" Target="https://base.garant.ru/12184522/" TargetMode="External"/><Relationship Id="rId33" Type="http://schemas.openxmlformats.org/officeDocument/2006/relationships/hyperlink" Target="https://base.garant.ru/74868905/53f89421bbdaf741eb2d1ecc4ddb4c33/" TargetMode="External"/><Relationship Id="rId38" Type="http://schemas.openxmlformats.org/officeDocument/2006/relationships/hyperlink" Target="https://base.garant.ru/70687458/53f89421bbdaf741eb2d1ecc4ddb4c33/" TargetMode="External"/><Relationship Id="rId46" Type="http://schemas.openxmlformats.org/officeDocument/2006/relationships/hyperlink" Target="https://base.garant.ru/70810646/53f89421bbdaf741eb2d1ecc4ddb4c33/" TargetMode="External"/><Relationship Id="rId59" Type="http://schemas.openxmlformats.org/officeDocument/2006/relationships/hyperlink" Target="https://base.garant.ru/70732854/53f89421bbdaf741eb2d1ecc4ddb4c33/" TargetMode="External"/><Relationship Id="rId67" Type="http://schemas.openxmlformats.org/officeDocument/2006/relationships/hyperlink" Target="https://base.garant.ru/70812416/53f89421bbdaf741eb2d1ecc4ddb4c33/" TargetMode="External"/><Relationship Id="rId20" Type="http://schemas.openxmlformats.org/officeDocument/2006/relationships/hyperlink" Target="https://base.garant.ru/74868905/53f89421bbdaf741eb2d1ecc4ddb4c33/" TargetMode="External"/><Relationship Id="rId41" Type="http://schemas.openxmlformats.org/officeDocument/2006/relationships/hyperlink" Target="https://base.garant.ru/405358641/53f89421bbdaf741eb2d1ecc4ddb4c33/" TargetMode="External"/><Relationship Id="rId54" Type="http://schemas.openxmlformats.org/officeDocument/2006/relationships/hyperlink" Target="https://base.garant.ru/70809792/8e5cab37391b571c12c39a49736d35f9/" TargetMode="External"/><Relationship Id="rId62" Type="http://schemas.openxmlformats.org/officeDocument/2006/relationships/hyperlink" Target="https://base.garant.ru/70810734/1cafb24d049dcd1e7707a22d98e9858f/" TargetMode="External"/><Relationship Id="rId70" Type="http://schemas.openxmlformats.org/officeDocument/2006/relationships/hyperlink" Target="https://base.garant.ru/74868905/53f89421bbdaf741eb2d1ecc4ddb4c33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91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8645-0634-4BA8-B666-F1BFFA6A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2023-03-02T07:59:00Z</cp:lastPrinted>
  <dcterms:created xsi:type="dcterms:W3CDTF">2023-03-02T06:48:00Z</dcterms:created>
  <dcterms:modified xsi:type="dcterms:W3CDTF">2023-03-02T08:08:00Z</dcterms:modified>
</cp:coreProperties>
</file>